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tabs>
          <w:tab w:val="center" w:pos="4819" w:leader="none"/>
          <w:tab w:val="left" w:pos="8097" w:leader="none"/>
        </w:tabs>
        <w:rPr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8531205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18844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rPr>
          <w:lang w:eastAsia="ru-RU"/>
        </w:rPr>
      </w:pPr>
      <w:r>
        <w:rPr>
          <w:lang w:eastAsia="ru-RU"/>
        </w:rPr>
      </w:r>
      <w:r/>
    </w:p>
    <w:p>
      <w:pPr>
        <w:jc w:val="center"/>
        <w:rPr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rPr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rPr>
          <w:lang w:eastAsia="ru-RU"/>
        </w:rPr>
      </w:pPr>
      <w:r>
        <w:rPr>
          <w:lang w:eastAsia="ru-RU"/>
        </w:rPr>
      </w:r>
      <w:r/>
    </w:p>
    <w:p>
      <w:pPr>
        <w:jc w:val="center"/>
        <w:rPr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rPr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rPr>
          <w:b/>
          <w:sz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</w:r>
      <w:r/>
    </w:p>
    <w:p>
      <w:pPr>
        <w:jc w:val="center"/>
        <w:rPr>
          <w:lang w:eastAsia="ru-RU"/>
        </w:rPr>
      </w:pPr>
      <w:r>
        <w:rPr>
          <w:bCs/>
          <w:iCs/>
          <w:lang w:eastAsia="ru-RU"/>
        </w:rPr>
        <w:t xml:space="preserve">Сорок третье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rPr>
          <w:lang w:eastAsia="ru-RU"/>
        </w:rPr>
      </w:pPr>
      <w:r>
        <w:rPr>
          <w:lang w:eastAsia="ru-RU"/>
        </w:rPr>
      </w:r>
      <w:r/>
    </w:p>
    <w:p>
      <w:pPr>
        <w:jc w:val="center"/>
        <w:rPr>
          <w:sz w:val="26"/>
        </w:rPr>
      </w:pPr>
      <w:r>
        <w:rPr>
          <w:b/>
          <w:bCs/>
          <w:iCs/>
          <w:sz w:val="26"/>
          <w:szCs w:val="28"/>
          <w:lang w:eastAsia="ru-RU"/>
        </w:rPr>
        <w:t xml:space="preserve">Р</w:t>
      </w:r>
      <w:r>
        <w:rPr>
          <w:b/>
          <w:bCs/>
          <w:iCs/>
          <w:sz w:val="26"/>
          <w:szCs w:val="28"/>
          <w:lang w:eastAsia="ru-RU"/>
        </w:rPr>
        <w:t xml:space="preserve"> Е Ш Е Н И Е</w:t>
      </w:r>
      <w:r/>
    </w:p>
    <w:p>
      <w:pPr>
        <w:jc w:val="center"/>
        <w:rPr>
          <w:sz w:val="26"/>
        </w:rPr>
      </w:pPr>
      <w:r>
        <w:rPr>
          <w:sz w:val="26"/>
        </w:rPr>
      </w:r>
      <w:r/>
    </w:p>
    <w:p>
      <w:pPr>
        <w:jc w:val="center"/>
        <w:rPr>
          <w:sz w:val="26"/>
        </w:rPr>
      </w:pPr>
      <w:r>
        <w:rPr>
          <w:sz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3542030</wp:posOffset>
                </wp:positionH>
                <wp:positionV relativeFrom="paragraph">
                  <wp:posOffset>101813</wp:posOffset>
                </wp:positionV>
                <wp:extent cx="1089025" cy="734060"/>
                <wp:effectExtent l="0" t="635" r="635" b="0"/>
                <wp:wrapNone/>
                <wp:docPr id="4" name="Поле 4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0288;o:allowoverlap:true;o:allowincell:true;mso-position-horizontal-relative:text;margin-left:278.9pt;mso-position-horizontal:absolute;mso-position-vertical-relative:text;margin-top:8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3703955</wp:posOffset>
                </wp:positionH>
                <wp:positionV relativeFrom="paragraph">
                  <wp:posOffset>101813</wp:posOffset>
                </wp:positionV>
                <wp:extent cx="1089025" cy="734060"/>
                <wp:effectExtent l="0" t="635" r="635" b="0"/>
                <wp:wrapNone/>
                <wp:docPr id="5" name="Поле 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61312;o:allowoverlap:true;o:allowincell:true;mso-position-horizontal-relative:text;margin-left:291.6pt;mso-position-horizontal:absolute;mso-position-vertical-relative:text;margin-top:8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Cs/>
          <w:iCs/>
          <w:sz w:val="26"/>
          <w:szCs w:val="24"/>
          <w:lang w:eastAsia="ru-RU"/>
        </w:rPr>
        <w:t xml:space="preserve">17 февраля  2026 года                                                                                                №  485</w:t>
      </w:r>
      <w:r/>
    </w:p>
    <w:p>
      <w:pPr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rPr>
          <w:sz w:val="26"/>
        </w:rPr>
      </w:pPr>
      <w:r>
        <w:rPr>
          <w:sz w:val="26"/>
        </w:rPr>
      </w:r>
      <w:r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4076"/>
      </w:tblGrid>
      <w:tr>
        <w:trPr/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635" w:type="dxa"/>
            <w:textDirection w:val="lrTb"/>
            <w:noWrap w:val="false"/>
          </w:tcPr>
          <w:p>
            <w:pPr>
              <w:ind w:right="-3"/>
              <w:jc w:val="both"/>
              <w:shd w:val="clear" w:fill="FFFFFF" w:color="auto"/>
              <w:widowControl w:val="off"/>
              <w:tabs>
                <w:tab w:val="left" w:pos="4368" w:leader="none"/>
                <w:tab w:val="left" w:pos="4620" w:leader="none"/>
                <w:tab w:val="left" w:pos="4704" w:leader="none"/>
              </w:tabs>
              <w:rPr>
                <w:sz w:val="26"/>
              </w:rPr>
            </w:pPr>
            <w:r>
              <w:rPr>
                <w:b/>
                <w:sz w:val="26"/>
                <w:szCs w:val="27"/>
              </w:rPr>
              <w:t xml:space="preserve">О внесении изменений в решение Совета депутатов Новооскольского муниципального округа от 31 октября 2023 года № 32 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076" w:type="dxa"/>
            <w:textDirection w:val="lrTb"/>
            <w:noWrap w:val="false"/>
          </w:tcPr>
          <w:p>
            <w:pPr>
              <w:jc w:val="both"/>
              <w:shd w:val="clear" w:fill="FFFFFF" w:color="auto"/>
              <w:widowControl w:val="off"/>
              <w:tabs>
                <w:tab w:val="left" w:pos="4368" w:leader="none"/>
                <w:tab w:val="left" w:pos="4620" w:leader="none"/>
                <w:tab w:val="left" w:pos="4704" w:leader="none"/>
              </w:tabs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</w:r>
            <w:r/>
          </w:p>
        </w:tc>
      </w:tr>
    </w:tbl>
    <w:p>
      <w:pPr>
        <w:shd w:val="clear" w:fill="FFFFFF" w:color="auto"/>
        <w:rPr>
          <w:b/>
          <w:i/>
          <w:sz w:val="26"/>
          <w:szCs w:val="27"/>
        </w:rPr>
      </w:pPr>
      <w:r>
        <w:rPr>
          <w:b/>
          <w:i/>
          <w:sz w:val="26"/>
          <w:szCs w:val="27"/>
        </w:rPr>
      </w:r>
      <w:r>
        <w:rPr>
          <w:b/>
          <w:i/>
          <w:sz w:val="26"/>
          <w:szCs w:val="27"/>
        </w:rPr>
      </w:r>
    </w:p>
    <w:p>
      <w:pPr>
        <w:shd w:val="clear" w:fill="FFFFFF" w:color="auto"/>
        <w:rPr>
          <w:b/>
          <w:i/>
          <w:sz w:val="26"/>
          <w:szCs w:val="27"/>
        </w:rPr>
      </w:pPr>
      <w:r>
        <w:rPr>
          <w:b/>
          <w:i/>
          <w:sz w:val="26"/>
          <w:szCs w:val="27"/>
        </w:rPr>
      </w:r>
      <w:r/>
    </w:p>
    <w:p>
      <w:pPr>
        <w:ind w:firstLine="588"/>
        <w:jc w:val="both"/>
        <w:shd w:val="clear" w:fill="FFFFFF" w:color="auto"/>
        <w:rPr>
          <w:b/>
          <w:color w:val="000000"/>
          <w:sz w:val="26"/>
          <w:szCs w:val="27"/>
        </w:rPr>
      </w:pPr>
      <w:r>
        <w:rPr>
          <w:color w:val="000000"/>
          <w:sz w:val="26"/>
          <w:szCs w:val="27"/>
        </w:rPr>
        <w:t xml:space="preserve">В соответствии с Уставом Новооскольского муниципального округа Белгородской области </w:t>
      </w:r>
      <w:r>
        <w:rPr>
          <w:b/>
          <w:color w:val="000000"/>
          <w:sz w:val="26"/>
          <w:szCs w:val="27"/>
        </w:rPr>
        <w:t xml:space="preserve">Совет депутатов Новооскольского муниципального округ</w:t>
      </w:r>
      <w:r>
        <w:rPr>
          <w:b/>
          <w:color w:val="000000"/>
          <w:sz w:val="26"/>
          <w:szCs w:val="27"/>
        </w:rPr>
        <w:t xml:space="preserve">а</w:t>
      </w:r>
      <w:r>
        <w:rPr>
          <w:b/>
          <w:i/>
          <w:color w:val="000000"/>
          <w:sz w:val="26"/>
          <w:szCs w:val="27"/>
        </w:rPr>
        <w:t xml:space="preserve"> </w:t>
      </w:r>
      <w:r>
        <w:rPr>
          <w:b/>
          <w:color w:val="000000"/>
          <w:sz w:val="26"/>
          <w:szCs w:val="27"/>
        </w:rPr>
        <w:t xml:space="preserve">Белгородской области </w:t>
      </w:r>
      <w:r>
        <w:rPr>
          <w:b/>
          <w:color w:val="000000"/>
          <w:sz w:val="26"/>
          <w:szCs w:val="27"/>
        </w:rPr>
        <w:t xml:space="preserve">р</w:t>
      </w:r>
      <w:r>
        <w:rPr>
          <w:b/>
          <w:color w:val="000000"/>
          <w:sz w:val="26"/>
          <w:szCs w:val="27"/>
        </w:rPr>
        <w:t xml:space="preserve"> е ш и л:</w:t>
      </w:r>
      <w:r/>
    </w:p>
    <w:p>
      <w:pPr>
        <w:ind w:firstLine="588"/>
        <w:jc w:val="both"/>
        <w:shd w:val="clear" w:fill="FFFFFF" w:color="auto"/>
        <w:rPr>
          <w:b/>
          <w:color w:val="000000"/>
          <w:sz w:val="26"/>
          <w:szCs w:val="27"/>
        </w:rPr>
      </w:pPr>
      <w:r>
        <w:rPr>
          <w:color w:val="000000"/>
          <w:sz w:val="26"/>
          <w:szCs w:val="27"/>
        </w:rPr>
        <w:t xml:space="preserve">1. Внести в решение Совета депутатов Новооскольского городского округа     от 31 октября 2023 года № 32 «Об утверждении Порядка организации и осуществления личного приема граждан депутатами Совета депутатов Новооскольского</w:t>
      </w:r>
      <w:r>
        <w:rPr>
          <w:color w:val="000000"/>
          <w:sz w:val="26"/>
          <w:szCs w:val="27"/>
        </w:rPr>
        <w:t xml:space="preserve"> городского округа» следующие изменения:</w:t>
      </w:r>
      <w:r/>
    </w:p>
    <w:p>
      <w:pPr>
        <w:ind w:right="-3"/>
        <w:jc w:val="both"/>
        <w:shd w:val="clear" w:fill="FFFFFF" w:color="auto"/>
        <w:tabs>
          <w:tab w:val="left" w:pos="567" w:leader="none"/>
          <w:tab w:val="left" w:pos="4368" w:leader="none"/>
          <w:tab w:val="left" w:pos="4620" w:leader="none"/>
          <w:tab w:val="left" w:pos="4704" w:leader="none"/>
        </w:tabs>
        <w:rPr>
          <w:color w:val="000000"/>
          <w:sz w:val="26"/>
          <w:szCs w:val="27"/>
        </w:rPr>
      </w:pPr>
      <w:r>
        <w:rPr>
          <w:color w:val="000000"/>
          <w:sz w:val="26"/>
          <w:szCs w:val="27"/>
        </w:rPr>
        <w:tab/>
        <w:t xml:space="preserve">1.1. В наименовании, преамбуле, тексте решения, тексте Порядка организации и осуществления личного приема граждан депутатами Совета депутатов Новооскольского городского округа, приложениях № 2, № 3 слова «</w:t>
      </w:r>
      <w:r>
        <w:rPr>
          <w:color w:val="000000"/>
          <w:sz w:val="26"/>
          <w:szCs w:val="27"/>
        </w:rPr>
        <w:t xml:space="preserve">Новооскол</w:t>
      </w:r>
      <w:r>
        <w:rPr>
          <w:color w:val="000000"/>
          <w:sz w:val="26"/>
          <w:szCs w:val="27"/>
        </w:rPr>
        <w:t xml:space="preserve">ьский</w:t>
      </w:r>
      <w:r>
        <w:rPr>
          <w:color w:val="000000"/>
          <w:sz w:val="26"/>
          <w:szCs w:val="27"/>
        </w:rPr>
        <w:t xml:space="preserve"> городской округ» заменить словами «</w:t>
      </w:r>
      <w:r>
        <w:rPr>
          <w:color w:val="000000"/>
          <w:sz w:val="26"/>
          <w:szCs w:val="27"/>
        </w:rPr>
        <w:t xml:space="preserve">Новооскольский</w:t>
      </w:r>
      <w:r>
        <w:rPr>
          <w:color w:val="000000"/>
          <w:sz w:val="26"/>
          <w:szCs w:val="27"/>
        </w:rPr>
        <w:t xml:space="preserve"> муниципальный округ» в соответствующих падежах.</w:t>
      </w:r>
      <w:r/>
    </w:p>
    <w:p>
      <w:pPr>
        <w:ind w:right="-3"/>
        <w:jc w:val="both"/>
        <w:shd w:val="clear" w:fill="FFFFFF" w:color="auto"/>
        <w:tabs>
          <w:tab w:val="left" w:pos="567" w:leader="none"/>
          <w:tab w:val="left" w:pos="4368" w:leader="none"/>
          <w:tab w:val="left" w:pos="4620" w:leader="none"/>
          <w:tab w:val="left" w:pos="4704" w:leader="none"/>
        </w:tabs>
        <w:rPr>
          <w:color w:val="000000"/>
          <w:sz w:val="26"/>
          <w:szCs w:val="27"/>
        </w:rPr>
      </w:pPr>
      <w:r>
        <w:rPr>
          <w:color w:val="000000"/>
          <w:sz w:val="26"/>
          <w:szCs w:val="27"/>
        </w:rPr>
        <w:tab/>
        <w:t xml:space="preserve">1.2. Приложение № 1 к Порядку организации и осуществления личного приема граждан депутатами Сове</w:t>
      </w:r>
      <w:r>
        <w:rPr>
          <w:color w:val="000000"/>
          <w:sz w:val="26"/>
          <w:szCs w:val="27"/>
        </w:rPr>
        <w:t xml:space="preserve">та депутатов Новооскольского городского округа изложить в новой редакции (прилагается).</w:t>
      </w:r>
      <w:r/>
    </w:p>
    <w:p>
      <w:pPr>
        <w:jc w:val="both"/>
        <w:rPr>
          <w:color w:val="000000"/>
          <w:sz w:val="26"/>
          <w:szCs w:val="27"/>
        </w:rPr>
      </w:pPr>
      <w:r>
        <w:rPr>
          <w:color w:val="000000"/>
          <w:sz w:val="26"/>
          <w:szCs w:val="27"/>
        </w:rPr>
        <w:tab/>
        <w:t xml:space="preserve">2. Настоящее решение опубликовать в сетевом издании «Вперёд Новооскольская газета» (no-vpered.ru) и разместить на официальном сайте органов местного самоуправления Нов</w:t>
      </w:r>
      <w:r>
        <w:rPr>
          <w:color w:val="000000"/>
          <w:sz w:val="26"/>
          <w:szCs w:val="27"/>
        </w:rPr>
        <w:t xml:space="preserve">ооскольского муниципального округа                                           (novyjoskol-r31.gosweb.gosuslugi.ru) в информационно-телекоммуникационной сети «Интернет».</w:t>
      </w:r>
      <w:r/>
    </w:p>
    <w:p>
      <w:pPr>
        <w:jc w:val="both"/>
        <w:rPr>
          <w:color w:val="000000"/>
          <w:sz w:val="26"/>
          <w:szCs w:val="27"/>
          <w:highlight w:val="none"/>
        </w:rPr>
      </w:pPr>
      <w:r>
        <w:rPr>
          <w:color w:val="000000"/>
          <w:sz w:val="26"/>
          <w:szCs w:val="27"/>
        </w:rPr>
        <w:tab/>
        <w:t xml:space="preserve">3. </w:t>
      </w:r>
      <w:r>
        <w:rPr>
          <w:color w:val="000000"/>
          <w:sz w:val="26"/>
          <w:szCs w:val="27"/>
        </w:rPr>
        <w:t xml:space="preserve">Контроль за</w:t>
      </w:r>
      <w:r>
        <w:rPr>
          <w:color w:val="000000"/>
          <w:sz w:val="26"/>
          <w:szCs w:val="27"/>
        </w:rPr>
        <w:t xml:space="preserve"> выполнением решения возложить на постоянную комиссию Совета депутатов Но</w:t>
      </w:r>
      <w:r>
        <w:rPr>
          <w:color w:val="000000"/>
          <w:sz w:val="26"/>
          <w:szCs w:val="27"/>
        </w:rPr>
        <w:t xml:space="preserve">вооскольского муниципального округа по местному самоуправлению, нормативно - правовой деятельности и общественному правопорядку (</w:t>
      </w:r>
      <w:r>
        <w:rPr>
          <w:color w:val="000000"/>
          <w:sz w:val="26"/>
          <w:szCs w:val="27"/>
        </w:rPr>
        <w:t xml:space="preserve">Локтионов</w:t>
      </w:r>
      <w:r>
        <w:rPr>
          <w:color w:val="000000"/>
          <w:sz w:val="26"/>
          <w:szCs w:val="27"/>
        </w:rPr>
        <w:t xml:space="preserve"> </w:t>
      </w:r>
      <w:r>
        <w:rPr>
          <w:color w:val="000000"/>
          <w:sz w:val="26"/>
          <w:szCs w:val="27"/>
        </w:rPr>
        <w:t xml:space="preserve">А.С</w:t>
      </w:r>
      <w:r>
        <w:rPr>
          <w:color w:val="000000"/>
          <w:sz w:val="26"/>
          <w:szCs w:val="27"/>
        </w:rPr>
        <w:t xml:space="preserve">.).</w:t>
      </w:r>
      <w:r/>
    </w:p>
    <w:p>
      <w:pPr>
        <w:jc w:val="both"/>
        <w:rPr>
          <w:color w:val="000000"/>
          <w:sz w:val="26"/>
          <w:szCs w:val="27"/>
        </w:rPr>
      </w:pPr>
      <w:r>
        <w:rPr>
          <w:color w:val="000000"/>
          <w:sz w:val="26"/>
          <w:szCs w:val="27"/>
        </w:rPr>
      </w:r>
      <w:r>
        <w:rPr>
          <w:color w:val="000000"/>
          <w:sz w:val="26"/>
          <w:szCs w:val="27"/>
        </w:rPr>
      </w:r>
    </w:p>
    <w:p>
      <w:pPr>
        <w:jc w:val="both"/>
        <w:rPr>
          <w:color w:val="000000"/>
          <w:sz w:val="26"/>
          <w:szCs w:val="27"/>
        </w:rPr>
      </w:pPr>
      <w:r>
        <w:rPr>
          <w:color w:val="000000"/>
          <w:sz w:val="26"/>
          <w:szCs w:val="27"/>
          <w:highlight w:val="none"/>
        </w:rPr>
      </w:r>
      <w:r>
        <w:rPr>
          <w:color w:val="000000"/>
          <w:sz w:val="26"/>
          <w:szCs w:val="27"/>
          <w:highlight w:val="none"/>
        </w:rPr>
      </w:r>
    </w:p>
    <w:p>
      <w:pPr>
        <w:jc w:val="both"/>
        <w:rPr>
          <w:b/>
          <w:sz w:val="26"/>
          <w:szCs w:val="27"/>
        </w:rPr>
      </w:pPr>
      <w:r/>
      <w:bookmarkStart w:id="0" w:name="_GoBack"/>
      <w:r/>
      <w:bookmarkEnd w:id="0"/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79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920" w:type="dxa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t xml:space="preserve">Председатель Совета депутатов</w:t>
            </w:r>
            <w:r/>
          </w:p>
          <w:p>
            <w:pPr>
              <w:jc w:val="center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t xml:space="preserve">Новооскольского муниципального округа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792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t xml:space="preserve">        </w:t>
            </w:r>
            <w:r/>
          </w:p>
          <w:p>
            <w:pPr>
              <w:jc w:val="right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t xml:space="preserve">А.И</w:t>
            </w:r>
            <w:r>
              <w:rPr>
                <w:b/>
                <w:sz w:val="26"/>
                <w:szCs w:val="27"/>
              </w:rPr>
              <w:t xml:space="preserve">. Попова</w:t>
            </w:r>
            <w:r/>
          </w:p>
        </w:tc>
      </w:tr>
    </w:tbl>
    <w:p>
      <w:pPr>
        <w:pStyle w:val="880"/>
        <w:jc w:val="both"/>
        <w:rPr>
          <w:sz w:val="27"/>
          <w:szCs w:val="27"/>
        </w:rPr>
        <w:sectPr>
          <w:headerReference w:type="default" r:id="rId9"/>
          <w:headerReference w:type="even" r:id="rId10"/>
          <w:footnotePr/>
          <w:endnotePr/>
          <w:type w:val="nextPage"/>
          <w:pgSz w:w="11909" w:h="16834" w:orient="portrait"/>
          <w:pgMar w:top="1134" w:right="712" w:bottom="851" w:left="1701" w:header="720" w:footer="720" w:gutter="0"/>
          <w:cols w:num="1" w:sep="0" w:space="60" w:equalWidth="1"/>
          <w:docGrid w:linePitch="360"/>
          <w:titlePg/>
        </w:sectPr>
      </w:pPr>
      <w:r>
        <w:rPr>
          <w:sz w:val="27"/>
          <w:szCs w:val="27"/>
        </w:rPr>
      </w:r>
      <w:r/>
    </w:p>
    <w:p>
      <w:pPr>
        <w:pStyle w:val="880"/>
        <w:jc w:val="both"/>
        <w:rPr>
          <w:sz w:val="27"/>
          <w:szCs w:val="27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-434339</wp:posOffset>
                </wp:positionV>
                <wp:extent cx="4188460" cy="1257300"/>
                <wp:effectExtent l="0" t="0" r="0" b="0"/>
                <wp:wrapNone/>
                <wp:docPr id="6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18846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  <w:szCs w:val="27"/>
                              </w:rPr>
                              <w:t xml:space="preserve">Приложение № 1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b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  <w:szCs w:val="27"/>
                              </w:rPr>
                              <w:t xml:space="preserve"> к Порядку организации и осуществления личного приема граждан депутатами Совета депутатов Новооскольского муниципального округа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b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  <w:szCs w:val="27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style="position:absolute;mso-wrap-distance-left:9.0pt;mso-wrap-distance-top:0.0pt;mso-wrap-distance-right:9.0pt;mso-wrap-distance-bottom:0.0pt;z-index:251663360;o:allowoverlap:true;o:allowincell:true;mso-position-horizontal-relative:text;margin-left:399.2pt;mso-position-horizontal:absolute;mso-position-vertical-relative:text;margin-top:-34.2pt;mso-position-vertical:absolute;width:329.8pt;height:99.0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sz w:val="27"/>
                          <w:szCs w:val="27"/>
                        </w:rPr>
                      </w:pPr>
                      <w:r>
                        <w:rPr>
                          <w:b/>
                          <w:sz w:val="27"/>
                          <w:szCs w:val="27"/>
                        </w:rPr>
                        <w:t xml:space="preserve">Приложение № 1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sz w:val="27"/>
                          <w:szCs w:val="27"/>
                        </w:rPr>
                      </w:pPr>
                      <w:r>
                        <w:rPr>
                          <w:b/>
                          <w:sz w:val="27"/>
                          <w:szCs w:val="27"/>
                        </w:rPr>
                        <w:t xml:space="preserve"> к Порядку организации и осуществления личного приема граждан депутатами Совета депутатов Новооскольского муниципального округа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sz w:val="27"/>
                          <w:szCs w:val="27"/>
                        </w:rPr>
                      </w:pPr>
                      <w:r>
                        <w:rPr>
                          <w:b/>
                          <w:sz w:val="27"/>
                          <w:szCs w:val="27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both"/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jc w:val="center"/>
        <w:spacing w:lineRule="auto" w:line="276" w:after="200"/>
        <w:rPr>
          <w:rFonts w:eastAsia="Calibri"/>
          <w:b/>
          <w:sz w:val="27"/>
          <w:szCs w:val="27"/>
          <w:lang w:eastAsia="en-US"/>
        </w:rPr>
      </w:pPr>
      <w:r>
        <w:rPr>
          <w:rFonts w:eastAsia="Calibri"/>
          <w:b/>
          <w:sz w:val="27"/>
          <w:szCs w:val="27"/>
          <w:lang w:eastAsia="en-US"/>
        </w:rPr>
        <w:t xml:space="preserve">Карточка личного приема граждан</w:t>
      </w:r>
      <w:r/>
    </w:p>
    <w:p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7"/>
          <w:szCs w:val="27"/>
          <w:lang w:eastAsia="en-US"/>
        </w:rPr>
        <w:t xml:space="preserve">Прием проводит</w:t>
      </w:r>
      <w:r>
        <w:rPr>
          <w:rFonts w:eastAsia="Calibri"/>
          <w:b/>
          <w:sz w:val="28"/>
          <w:szCs w:val="28"/>
          <w:lang w:eastAsia="en-US"/>
        </w:rPr>
        <w:t xml:space="preserve"> ________________________________________________________________________________________</w:t>
      </w:r>
      <w:r/>
    </w:p>
    <w:p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(ФИО депутата)</w:t>
      </w:r>
      <w:r/>
    </w:p>
    <w:p>
      <w:pPr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________________________________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по адресу</w:t>
      </w:r>
      <w:r>
        <w:rPr>
          <w:rFonts w:eastAsia="Calibri"/>
          <w:sz w:val="16"/>
          <w:szCs w:val="16"/>
          <w:lang w:eastAsia="en-US"/>
        </w:rPr>
        <w:t xml:space="preserve"> ___________________</w:t>
      </w:r>
      <w:r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</w:t>
      </w:r>
      <w:r/>
    </w:p>
    <w:p>
      <w:pPr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(дата, время)</w:t>
      </w:r>
      <w:r/>
    </w:p>
    <w:p>
      <w:pPr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</w:r>
      <w:r/>
    </w:p>
    <w:p>
      <w:pPr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</w:r>
      <w:r/>
    </w:p>
    <w:tbl>
      <w:tblPr>
        <w:tblW w:w="14709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576"/>
        <w:gridCol w:w="2084"/>
        <w:gridCol w:w="5245"/>
        <w:gridCol w:w="1559"/>
        <w:gridCol w:w="1417"/>
        <w:gridCol w:w="2410"/>
        <w:gridCol w:w="1418"/>
      </w:tblGrid>
      <w:tr>
        <w:trPr/>
        <w:tc>
          <w:tcPr>
            <w:tcW w:w="5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</w:t>
            </w:r>
            <w:r/>
          </w:p>
          <w:p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п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/п</w:t>
            </w:r>
            <w:r/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Автор обращения</w:t>
            </w:r>
            <w:r/>
          </w:p>
        </w:tc>
        <w:tc>
          <w:tcPr>
            <w:tcW w:w="52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Содержание обращения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Обращался ранее          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(да/нет,</w:t>
            </w:r>
            <w:r/>
          </w:p>
          <w:p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кол-во раз)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Вариант решения</w:t>
            </w:r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Форма ответа</w:t>
            </w:r>
            <w:r/>
          </w:p>
          <w:p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(устная, письменная)</w:t>
            </w:r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Срок</w:t>
            </w:r>
            <w:r/>
          </w:p>
          <w:p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исполнения</w:t>
            </w:r>
            <w:r/>
          </w:p>
        </w:tc>
      </w:tr>
      <w:tr>
        <w:trPr>
          <w:trHeight w:val="3587"/>
        </w:trPr>
        <w:tc>
          <w:tcPr>
            <w:tcW w:w="576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2084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  <w:p>
            <w:pPr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/>
          </w:p>
        </w:tc>
      </w:tr>
    </w:tbl>
    <w:p>
      <w:pPr>
        <w:spacing w:lineRule="auto" w:line="276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ascii="Calibri" w:hAnsi="Calibri" w:eastAsia="Calibri"/>
          <w:sz w:val="22"/>
          <w:szCs w:val="22"/>
          <w:lang w:eastAsia="en-US"/>
        </w:rPr>
      </w:r>
      <w:r/>
    </w:p>
    <w:p>
      <w:pPr>
        <w:spacing w:lineRule="auto" w:line="276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Подпись депутата:                                                     ____________________________________              ______________________</w:t>
      </w:r>
      <w:r/>
    </w:p>
    <w:p>
      <w:pPr>
        <w:jc w:val="center"/>
        <w:spacing w:lineRule="auto" w:line="276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(фамилия инициалы)</w:t>
      </w:r>
      <w:r/>
    </w:p>
    <w:p>
      <w:pPr>
        <w:spacing w:lineRule="auto" w:line="276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Подпись гражданина:                                               _____________________________________              _____________________</w:t>
      </w:r>
      <w:r/>
    </w:p>
    <w:p>
      <w:pPr>
        <w:jc w:val="center"/>
        <w:spacing w:lineRule="auto" w:line="276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(фамилия инициалы)</w:t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/>
    </w:p>
    <w:p>
      <w:pPr>
        <w:ind w:firstLine="708"/>
        <w:rPr>
          <w:color w:val="000000"/>
          <w:sz w:val="26"/>
        </w:rPr>
      </w:pPr>
      <w:r>
        <w:rPr>
          <w:sz w:val="26"/>
          <w:szCs w:val="24"/>
          <w:highlight w:val="white"/>
        </w:rPr>
        <w:t xml:space="preserve">В соответствии со статьей 9  Федерального закона "О персональных данных" (далее - Федеральный закон)  настоящ</w:t>
      </w:r>
      <w:r>
        <w:rPr>
          <w:sz w:val="26"/>
          <w:szCs w:val="24"/>
          <w:highlight w:val="white"/>
        </w:rPr>
        <w:t xml:space="preserve">им даю свое конкретное, предметное, информированное, сознательное и однозначное согласие Совету депутатов Новооскольского муниципального</w:t>
      </w:r>
      <w:r>
        <w:rPr>
          <w:sz w:val="26"/>
          <w:szCs w:val="24"/>
        </w:rPr>
        <w:t xml:space="preserve"> округа Белгородской области на обработку моих персональных данных о</w:t>
      </w:r>
      <w:r>
        <w:rPr>
          <w:color w:val="000000"/>
          <w:sz w:val="26"/>
        </w:rPr>
        <w:t xml:space="preserve">тносящихся к перечисленным ниже категориям персональных данных: </w:t>
      </w:r>
      <w:r/>
    </w:p>
    <w:p>
      <w:pPr>
        <w:pStyle w:val="718"/>
        <w:ind w:firstLine="567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фамилия, имя, отчество; дата рождения, адрес электронной почты; номер мобильного телефона; адрес регистрации по месту жительства.</w:t>
      </w:r>
      <w:r/>
    </w:p>
    <w:p>
      <w:pPr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Настоящее согласие предоставляется мной на  осуществление дей</w:t>
      </w:r>
      <w:r>
        <w:rPr>
          <w:sz w:val="26"/>
          <w:szCs w:val="24"/>
        </w:rPr>
        <w:t xml:space="preserve">ствий, предусмотренных пунктом 3 статьи 3 Федерального закона, в том числе любых действий (операций)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</w:t>
      </w:r>
      <w:r>
        <w:rPr>
          <w:sz w:val="26"/>
          <w:szCs w:val="24"/>
        </w:rPr>
        <w:t xml:space="preserve">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соответствии</w:t>
      </w:r>
      <w:r>
        <w:rPr>
          <w:sz w:val="26"/>
          <w:szCs w:val="24"/>
        </w:rPr>
        <w:t xml:space="preserve"> с</w:t>
      </w:r>
      <w:r>
        <w:rPr>
          <w:sz w:val="26"/>
          <w:szCs w:val="24"/>
        </w:rPr>
        <w:t xml:space="preserve"> действующим законодательством. Персональные данные обрабатываются в целях рассмотрения обращения и оказания возможной помощи, а также уведомления граждан Российской Федерации об общественно значимых событиях.</w:t>
      </w:r>
      <w:r/>
    </w:p>
    <w:p>
      <w:pPr>
        <w:pStyle w:val="718"/>
        <w:ind w:firstLine="567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Обработка персональных данных осуществляется в</w:t>
      </w:r>
      <w:r>
        <w:rPr>
          <w:color w:val="000000"/>
          <w:sz w:val="26"/>
        </w:rPr>
        <w:t xml:space="preserve"> течение всего времени, необходимого для достижения целей обработки. Обработка персональных данных прекращается досрочно при наступлении оснований, предусмотренных статьей 21 Федерального закона от 27.07.2006 № 152-ФЗ «О персональных данных» (в том числе в</w:t>
      </w:r>
      <w:r>
        <w:rPr>
          <w:color w:val="000000"/>
          <w:sz w:val="26"/>
        </w:rPr>
        <w:t xml:space="preserve"> связи с отзывом согласия), а также при наступлении иных оснований, установленных федеральным законодательством.  </w:t>
      </w:r>
      <w:r/>
    </w:p>
    <w:p>
      <w:pPr>
        <w:ind w:firstLine="708"/>
        <w:jc w:val="both"/>
        <w:rPr>
          <w:sz w:val="26"/>
          <w:highlight w:val="white"/>
        </w:rPr>
      </w:pPr>
      <w:r>
        <w:rPr>
          <w:sz w:val="26"/>
          <w:szCs w:val="24"/>
          <w:highlight w:val="white"/>
        </w:rPr>
        <w:t xml:space="preserve">Согласие на обработку персональных данных действует бессрочно со дня его подписания и может быть отозвано мной в любое время на основании мое</w:t>
      </w:r>
      <w:r>
        <w:rPr>
          <w:sz w:val="26"/>
          <w:szCs w:val="24"/>
          <w:highlight w:val="white"/>
        </w:rPr>
        <w:t xml:space="preserve">го письменного заявления.</w:t>
      </w:r>
      <w:r/>
    </w:p>
    <w:p>
      <w:pPr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Подтверждаю, что, давая согласие, я действую по своей воле и в своих интересах.</w:t>
      </w:r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708"/>
        <w:jc w:val="right"/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ind w:left="708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"__" _______________ 20___     ________________/________________________________ /</w:t>
      </w:r>
      <w:r/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(Подпись                 </w:t>
      </w:r>
      <w:r>
        <w:rPr>
          <w:sz w:val="16"/>
          <w:szCs w:val="16"/>
        </w:rPr>
        <w:t xml:space="preserve">                                        ФИО  заявителя)</w:t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  <w:sectPr>
          <w:footnotePr/>
          <w:endnotePr/>
          <w:type w:val="nextPage"/>
          <w:pgSz w:w="16834" w:h="11909" w:orient="landscape"/>
          <w:pgMar w:top="1134" w:right="567" w:bottom="1134" w:left="1701" w:header="720" w:footer="720" w:gutter="0"/>
          <w:cols w:num="1" w:sep="0" w:space="60" w:equalWidth="1"/>
          <w:docGrid w:linePitch="360"/>
          <w:titlePg/>
        </w:sectPr>
      </w:pPr>
      <w:r>
        <w:rPr>
          <w:sz w:val="27"/>
          <w:szCs w:val="27"/>
        </w:rPr>
      </w:r>
      <w:r/>
    </w:p>
    <w:p>
      <w:pPr>
        <w:rPr>
          <w:sz w:val="27"/>
          <w:szCs w:val="27"/>
        </w:rPr>
      </w:pPr>
      <w:r>
        <w:rPr>
          <w:sz w:val="27"/>
          <w:szCs w:val="27"/>
        </w:rPr>
      </w:r>
      <w:r/>
    </w:p>
    <w:sectPr>
      <w:footnotePr/>
      <w:endnotePr/>
      <w:type w:val="nextPage"/>
      <w:pgSz w:w="11909" w:h="16834" w:orient="portrait"/>
      <w:pgMar w:top="567" w:right="1134" w:bottom="1701" w:left="1134" w:header="720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rPr>
        <w:rStyle w:val="877"/>
      </w:rPr>
      <w:framePr w:wrap="around" w:vAnchor="text" w:hAnchor="margin" w:xAlign="center" w:y="1"/>
    </w:pPr>
    <w:r>
      <w:rPr>
        <w:rStyle w:val="877"/>
      </w:rPr>
      <w:fldChar w:fldCharType="begin"/>
    </w:r>
    <w:r>
      <w:rPr>
        <w:rStyle w:val="877"/>
      </w:rPr>
      <w:instrText xml:space="preserve">PAGE  </w:instrText>
    </w:r>
    <w:r>
      <w:rPr>
        <w:rStyle w:val="877"/>
      </w:rPr>
      <w:fldChar w:fldCharType="separate"/>
    </w:r>
    <w:r>
      <w:rPr>
        <w:rStyle w:val="877"/>
      </w:rPr>
      <w:t xml:space="preserve">3</w:t>
    </w:r>
    <w:r>
      <w:rPr>
        <w:rStyle w:val="877"/>
      </w:rPr>
      <w:fldChar w:fldCharType="end"/>
    </w:r>
    <w:r/>
  </w:p>
  <w:p>
    <w:pPr>
      <w:pStyle w:val="727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rPr>
        <w:rStyle w:val="877"/>
      </w:rPr>
      <w:framePr w:wrap="around" w:vAnchor="text" w:hAnchor="margin" w:xAlign="center" w:y="1"/>
    </w:pPr>
    <w:r>
      <w:rPr>
        <w:rStyle w:val="877"/>
      </w:rPr>
      <w:fldChar w:fldCharType="begin"/>
    </w:r>
    <w:r>
      <w:rPr>
        <w:rStyle w:val="877"/>
      </w:rPr>
      <w:instrText xml:space="preserve">PAGE  </w:instrText>
    </w:r>
    <w:r>
      <w:rPr>
        <w:rStyle w:val="877"/>
      </w:rPr>
      <w:fldChar w:fldCharType="end"/>
    </w:r>
    <w:r/>
  </w:p>
  <w:p>
    <w:pPr>
      <w:pStyle w:val="727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  <w:tabs>
          <w:tab w:val="num" w:pos="46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720"/>
        <w:tabs>
          <w:tab w:val="num" w:pos="1035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350" w:hanging="720"/>
        <w:tabs>
          <w:tab w:val="num" w:pos="135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25" w:hanging="1080"/>
        <w:tabs>
          <w:tab w:val="num" w:pos="202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15" w:hanging="1440"/>
        <w:tabs>
          <w:tab w:val="num" w:pos="30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30" w:hanging="1440"/>
        <w:tabs>
          <w:tab w:val="num" w:pos="333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05" w:hanging="1800"/>
        <w:tabs>
          <w:tab w:val="num" w:pos="4005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800"/>
        <w:tabs>
          <w:tab w:val="num" w:pos="43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qFormat/>
    <w:rPr>
      <w:lang w:eastAsia="zh-CN"/>
    </w:rPr>
  </w:style>
  <w:style w:type="paragraph" w:styleId="679">
    <w:name w:val="Heading 1"/>
    <w:link w:val="708"/>
    <w:qFormat/>
    <w:uiPriority w:val="9"/>
    <w:rPr>
      <w:rFonts w:ascii="Arial" w:hAnsi="Arial" w:cs="Arial" w:eastAsia="Arial"/>
      <w:sz w:val="40"/>
      <w:szCs w:val="40"/>
      <w:lang w:eastAsia="zh-CN"/>
    </w:rPr>
    <w:pPr>
      <w:keepLines/>
      <w:keepNext/>
      <w:spacing w:after="200" w:before="480"/>
      <w:outlineLvl w:val="0"/>
    </w:pPr>
  </w:style>
  <w:style w:type="paragraph" w:styleId="680">
    <w:name w:val="Heading 2"/>
    <w:link w:val="709"/>
    <w:qFormat/>
    <w:uiPriority w:val="9"/>
    <w:unhideWhenUsed/>
    <w:rPr>
      <w:rFonts w:ascii="Arial" w:hAnsi="Arial" w:cs="Arial" w:eastAsia="Arial"/>
      <w:sz w:val="34"/>
      <w:lang w:eastAsia="zh-CN"/>
    </w:rPr>
    <w:pPr>
      <w:keepLines/>
      <w:keepNext/>
      <w:spacing w:after="200" w:before="360"/>
      <w:outlineLvl w:val="1"/>
    </w:pPr>
  </w:style>
  <w:style w:type="paragraph" w:styleId="681">
    <w:name w:val="Heading 3"/>
    <w:link w:val="710"/>
    <w:qFormat/>
    <w:uiPriority w:val="9"/>
    <w:unhideWhenUsed/>
    <w:rPr>
      <w:rFonts w:ascii="Arial" w:hAnsi="Arial" w:cs="Arial" w:eastAsia="Arial"/>
      <w:sz w:val="30"/>
      <w:szCs w:val="30"/>
      <w:lang w:eastAsia="zh-CN"/>
    </w:rPr>
    <w:pPr>
      <w:keepLines/>
      <w:keepNext/>
      <w:spacing w:after="200" w:before="320"/>
      <w:outlineLvl w:val="2"/>
    </w:pPr>
  </w:style>
  <w:style w:type="paragraph" w:styleId="682">
    <w:name w:val="Heading 4"/>
    <w:link w:val="711"/>
    <w:qFormat/>
    <w:uiPriority w:val="9"/>
    <w:unhideWhenUsed/>
    <w:rPr>
      <w:rFonts w:ascii="Arial" w:hAnsi="Arial" w:cs="Arial" w:eastAsia="Arial"/>
      <w:b/>
      <w:bCs/>
      <w:sz w:val="26"/>
      <w:szCs w:val="26"/>
      <w:lang w:eastAsia="zh-CN"/>
    </w:rPr>
    <w:pPr>
      <w:keepLines/>
      <w:keepNext/>
      <w:spacing w:after="200" w:before="320"/>
      <w:outlineLvl w:val="3"/>
    </w:pPr>
  </w:style>
  <w:style w:type="paragraph" w:styleId="683">
    <w:name w:val="Heading 5"/>
    <w:link w:val="712"/>
    <w:qFormat/>
    <w:uiPriority w:val="9"/>
    <w:unhideWhenUsed/>
    <w:rPr>
      <w:rFonts w:ascii="Arial" w:hAnsi="Arial" w:cs="Arial" w:eastAsia="Arial"/>
      <w:b/>
      <w:bCs/>
      <w:sz w:val="24"/>
      <w:szCs w:val="24"/>
      <w:lang w:eastAsia="zh-CN"/>
    </w:rPr>
    <w:pPr>
      <w:keepLines/>
      <w:keepNext/>
      <w:spacing w:after="200" w:before="320"/>
      <w:outlineLvl w:val="4"/>
    </w:pPr>
  </w:style>
  <w:style w:type="paragraph" w:styleId="684">
    <w:name w:val="Heading 6"/>
    <w:link w:val="713"/>
    <w:qFormat/>
    <w:uiPriority w:val="9"/>
    <w:unhideWhenUsed/>
    <w:rPr>
      <w:rFonts w:ascii="Arial" w:hAnsi="Arial" w:cs="Arial" w:eastAsia="Arial"/>
      <w:b/>
      <w:bCs/>
      <w:sz w:val="22"/>
      <w:szCs w:val="22"/>
      <w:lang w:eastAsia="zh-CN"/>
    </w:rPr>
    <w:pPr>
      <w:keepLines/>
      <w:keepNext/>
      <w:spacing w:after="200" w:before="320"/>
      <w:outlineLvl w:val="5"/>
    </w:pPr>
  </w:style>
  <w:style w:type="paragraph" w:styleId="685">
    <w:name w:val="Heading 7"/>
    <w:link w:val="71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  <w:lang w:eastAsia="zh-CN"/>
    </w:rPr>
    <w:pPr>
      <w:keepLines/>
      <w:keepNext/>
      <w:spacing w:after="200" w:before="320"/>
      <w:outlineLvl w:val="6"/>
    </w:pPr>
  </w:style>
  <w:style w:type="paragraph" w:styleId="686">
    <w:name w:val="Heading 8"/>
    <w:link w:val="715"/>
    <w:qFormat/>
    <w:uiPriority w:val="9"/>
    <w:unhideWhenUsed/>
    <w:rPr>
      <w:rFonts w:ascii="Arial" w:hAnsi="Arial" w:cs="Arial" w:eastAsia="Arial"/>
      <w:i/>
      <w:iCs/>
      <w:sz w:val="22"/>
      <w:szCs w:val="22"/>
      <w:lang w:eastAsia="zh-CN"/>
    </w:rPr>
    <w:pPr>
      <w:keepLines/>
      <w:keepNext/>
      <w:spacing w:after="200" w:before="320"/>
      <w:outlineLvl w:val="7"/>
    </w:pPr>
  </w:style>
  <w:style w:type="paragraph" w:styleId="687">
    <w:name w:val="Heading 9"/>
    <w:link w:val="716"/>
    <w:qFormat/>
    <w:uiPriority w:val="9"/>
    <w:unhideWhenUsed/>
    <w:rPr>
      <w:rFonts w:ascii="Arial" w:hAnsi="Arial" w:cs="Arial" w:eastAsia="Arial"/>
      <w:i/>
      <w:iCs/>
      <w:sz w:val="21"/>
      <w:szCs w:val="21"/>
      <w:lang w:eastAsia="zh-CN"/>
    </w:rPr>
    <w:pPr>
      <w:keepLines/>
      <w:keepNext/>
      <w:spacing w:after="200" w:before="320"/>
      <w:outlineLvl w:val="8"/>
    </w:pPr>
  </w:style>
  <w:style w:type="character" w:styleId="688" w:default="1">
    <w:name w:val="Default Paragraph Font"/>
    <w:uiPriority w:val="1"/>
    <w:semiHidden/>
    <w:unhideWhenUsed/>
  </w:style>
  <w:style w:type="table" w:styleId="6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uiPriority w:val="99"/>
    <w:semiHidden/>
    <w:unhideWhenUsed/>
  </w:style>
  <w:style w:type="character" w:styleId="691" w:customStyle="1">
    <w:name w:val="Heading 1 Char"/>
    <w:basedOn w:val="688"/>
    <w:uiPriority w:val="9"/>
    <w:rPr>
      <w:rFonts w:ascii="Arial" w:hAnsi="Arial" w:cs="Arial" w:eastAsia="Arial"/>
      <w:sz w:val="40"/>
      <w:szCs w:val="40"/>
    </w:rPr>
  </w:style>
  <w:style w:type="character" w:styleId="692" w:customStyle="1">
    <w:name w:val="Heading 2 Char"/>
    <w:basedOn w:val="688"/>
    <w:uiPriority w:val="9"/>
    <w:rPr>
      <w:rFonts w:ascii="Arial" w:hAnsi="Arial" w:cs="Arial" w:eastAsia="Arial"/>
      <w:sz w:val="34"/>
    </w:rPr>
  </w:style>
  <w:style w:type="character" w:styleId="693" w:customStyle="1">
    <w:name w:val="Heading 3 Char"/>
    <w:basedOn w:val="688"/>
    <w:uiPriority w:val="9"/>
    <w:rPr>
      <w:rFonts w:ascii="Arial" w:hAnsi="Arial" w:cs="Arial" w:eastAsia="Arial"/>
      <w:sz w:val="30"/>
      <w:szCs w:val="30"/>
    </w:rPr>
  </w:style>
  <w:style w:type="character" w:styleId="694" w:customStyle="1">
    <w:name w:val="Heading 4 Char"/>
    <w:basedOn w:val="688"/>
    <w:uiPriority w:val="9"/>
    <w:rPr>
      <w:rFonts w:ascii="Arial" w:hAnsi="Arial" w:cs="Arial" w:eastAsia="Arial"/>
      <w:b/>
      <w:bCs/>
      <w:sz w:val="26"/>
      <w:szCs w:val="26"/>
    </w:rPr>
  </w:style>
  <w:style w:type="character" w:styleId="695" w:customStyle="1">
    <w:name w:val="Heading 5 Char"/>
    <w:basedOn w:val="688"/>
    <w:uiPriority w:val="9"/>
    <w:rPr>
      <w:rFonts w:ascii="Arial" w:hAnsi="Arial" w:cs="Arial" w:eastAsia="Arial"/>
      <w:b/>
      <w:bCs/>
      <w:sz w:val="24"/>
      <w:szCs w:val="24"/>
    </w:rPr>
  </w:style>
  <w:style w:type="character" w:styleId="696" w:customStyle="1">
    <w:name w:val="Heading 6 Char"/>
    <w:basedOn w:val="688"/>
    <w:uiPriority w:val="9"/>
    <w:rPr>
      <w:rFonts w:ascii="Arial" w:hAnsi="Arial" w:cs="Arial" w:eastAsia="Arial"/>
      <w:b/>
      <w:bCs/>
      <w:sz w:val="22"/>
      <w:szCs w:val="22"/>
    </w:rPr>
  </w:style>
  <w:style w:type="character" w:styleId="697" w:customStyle="1">
    <w:name w:val="Heading 7 Char"/>
    <w:basedOn w:val="68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8" w:customStyle="1">
    <w:name w:val="Heading 8 Char"/>
    <w:basedOn w:val="688"/>
    <w:uiPriority w:val="9"/>
    <w:rPr>
      <w:rFonts w:ascii="Arial" w:hAnsi="Arial" w:cs="Arial" w:eastAsia="Arial"/>
      <w:i/>
      <w:iCs/>
      <w:sz w:val="22"/>
      <w:szCs w:val="22"/>
    </w:rPr>
  </w:style>
  <w:style w:type="character" w:styleId="699" w:customStyle="1">
    <w:name w:val="Heading 9 Char"/>
    <w:basedOn w:val="688"/>
    <w:uiPriority w:val="9"/>
    <w:rPr>
      <w:rFonts w:ascii="Arial" w:hAnsi="Arial" w:cs="Arial" w:eastAsia="Arial"/>
      <w:i/>
      <w:iCs/>
      <w:sz w:val="21"/>
      <w:szCs w:val="21"/>
    </w:rPr>
  </w:style>
  <w:style w:type="character" w:styleId="700" w:customStyle="1">
    <w:name w:val="Title Char"/>
    <w:basedOn w:val="688"/>
    <w:uiPriority w:val="10"/>
    <w:rPr>
      <w:sz w:val="48"/>
      <w:szCs w:val="48"/>
    </w:rPr>
  </w:style>
  <w:style w:type="character" w:styleId="701" w:customStyle="1">
    <w:name w:val="Subtitle Char"/>
    <w:basedOn w:val="688"/>
    <w:uiPriority w:val="11"/>
    <w:rPr>
      <w:sz w:val="24"/>
      <w:szCs w:val="24"/>
    </w:rPr>
  </w:style>
  <w:style w:type="character" w:styleId="702" w:customStyle="1">
    <w:name w:val="Quote Char"/>
    <w:uiPriority w:val="29"/>
    <w:rPr>
      <w:i/>
    </w:rPr>
  </w:style>
  <w:style w:type="character" w:styleId="703" w:customStyle="1">
    <w:name w:val="Intense Quote Char"/>
    <w:uiPriority w:val="30"/>
    <w:rPr>
      <w:i/>
    </w:rPr>
  </w:style>
  <w:style w:type="character" w:styleId="704" w:customStyle="1">
    <w:name w:val="Header Char"/>
    <w:basedOn w:val="688"/>
    <w:uiPriority w:val="99"/>
  </w:style>
  <w:style w:type="character" w:styleId="705" w:customStyle="1">
    <w:name w:val="Caption Char"/>
    <w:uiPriority w:val="99"/>
  </w:style>
  <w:style w:type="character" w:styleId="706" w:customStyle="1">
    <w:name w:val="Footnote Text Char"/>
    <w:uiPriority w:val="99"/>
    <w:rPr>
      <w:sz w:val="18"/>
    </w:rPr>
  </w:style>
  <w:style w:type="character" w:styleId="707" w:customStyle="1">
    <w:name w:val="Endnote Text Char"/>
    <w:uiPriority w:val="99"/>
    <w:rPr>
      <w:sz w:val="20"/>
    </w:rPr>
  </w:style>
  <w:style w:type="character" w:styleId="708" w:customStyle="1">
    <w:name w:val="Заголовок 1 Знак"/>
    <w:link w:val="679"/>
    <w:uiPriority w:val="9"/>
    <w:rPr>
      <w:rFonts w:ascii="Arial" w:hAnsi="Arial" w:cs="Arial" w:eastAsia="Arial"/>
      <w:sz w:val="40"/>
      <w:szCs w:val="40"/>
    </w:rPr>
  </w:style>
  <w:style w:type="character" w:styleId="709" w:customStyle="1">
    <w:name w:val="Заголовок 2 Знак"/>
    <w:link w:val="680"/>
    <w:uiPriority w:val="9"/>
    <w:rPr>
      <w:rFonts w:ascii="Arial" w:hAnsi="Arial" w:cs="Arial" w:eastAsia="Arial"/>
      <w:sz w:val="34"/>
    </w:rPr>
  </w:style>
  <w:style w:type="character" w:styleId="710" w:customStyle="1">
    <w:name w:val="Заголовок 3 Знак"/>
    <w:link w:val="681"/>
    <w:uiPriority w:val="9"/>
    <w:rPr>
      <w:rFonts w:ascii="Arial" w:hAnsi="Arial" w:cs="Arial" w:eastAsia="Arial"/>
      <w:sz w:val="30"/>
      <w:szCs w:val="30"/>
    </w:rPr>
  </w:style>
  <w:style w:type="character" w:styleId="711" w:customStyle="1">
    <w:name w:val="Заголовок 4 Знак"/>
    <w:link w:val="682"/>
    <w:uiPriority w:val="9"/>
    <w:rPr>
      <w:rFonts w:ascii="Arial" w:hAnsi="Arial" w:cs="Arial" w:eastAsia="Arial"/>
      <w:b/>
      <w:bCs/>
      <w:sz w:val="26"/>
      <w:szCs w:val="26"/>
    </w:rPr>
  </w:style>
  <w:style w:type="character" w:styleId="712" w:customStyle="1">
    <w:name w:val="Заголовок 5 Знак"/>
    <w:link w:val="683"/>
    <w:uiPriority w:val="9"/>
    <w:rPr>
      <w:rFonts w:ascii="Arial" w:hAnsi="Arial" w:cs="Arial" w:eastAsia="Arial"/>
      <w:b/>
      <w:bCs/>
      <w:sz w:val="24"/>
      <w:szCs w:val="24"/>
    </w:rPr>
  </w:style>
  <w:style w:type="character" w:styleId="713" w:customStyle="1">
    <w:name w:val="Заголовок 6 Знак"/>
    <w:link w:val="684"/>
    <w:uiPriority w:val="9"/>
    <w:rPr>
      <w:rFonts w:ascii="Arial" w:hAnsi="Arial" w:cs="Arial" w:eastAsia="Arial"/>
      <w:b/>
      <w:bCs/>
      <w:sz w:val="22"/>
      <w:szCs w:val="22"/>
    </w:rPr>
  </w:style>
  <w:style w:type="character" w:styleId="714" w:customStyle="1">
    <w:name w:val="Заголовок 7 Знак"/>
    <w:link w:val="68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15" w:customStyle="1">
    <w:name w:val="Заголовок 8 Знак"/>
    <w:link w:val="686"/>
    <w:uiPriority w:val="9"/>
    <w:rPr>
      <w:rFonts w:ascii="Arial" w:hAnsi="Arial" w:cs="Arial" w:eastAsia="Arial"/>
      <w:i/>
      <w:iCs/>
      <w:sz w:val="22"/>
      <w:szCs w:val="22"/>
    </w:rPr>
  </w:style>
  <w:style w:type="character" w:styleId="716" w:customStyle="1">
    <w:name w:val="Заголовок 9 Знак"/>
    <w:link w:val="687"/>
    <w:uiPriority w:val="9"/>
    <w:rPr>
      <w:rFonts w:ascii="Arial" w:hAnsi="Arial" w:cs="Arial" w:eastAsia="Arial"/>
      <w:i/>
      <w:iCs/>
      <w:sz w:val="21"/>
      <w:szCs w:val="21"/>
    </w:rPr>
  </w:style>
  <w:style w:type="paragraph" w:styleId="717">
    <w:name w:val="List Paragraph"/>
    <w:qFormat/>
    <w:uiPriority w:val="34"/>
    <w:rPr>
      <w:lang w:eastAsia="zh-CN"/>
    </w:rPr>
    <w:pPr>
      <w:contextualSpacing w:val="true"/>
      <w:ind w:left="720"/>
    </w:pPr>
  </w:style>
  <w:style w:type="paragraph" w:styleId="718">
    <w:name w:val="No Spacing"/>
    <w:qFormat/>
    <w:uiPriority w:val="1"/>
    <w:rPr>
      <w:lang w:eastAsia="zh-CN"/>
    </w:rPr>
  </w:style>
  <w:style w:type="paragraph" w:styleId="719">
    <w:name w:val="Title"/>
    <w:link w:val="720"/>
    <w:qFormat/>
    <w:uiPriority w:val="10"/>
    <w:rPr>
      <w:sz w:val="48"/>
      <w:szCs w:val="48"/>
      <w:lang w:eastAsia="zh-CN"/>
    </w:rPr>
    <w:pPr>
      <w:contextualSpacing w:val="true"/>
      <w:spacing w:after="200" w:before="300"/>
    </w:pPr>
  </w:style>
  <w:style w:type="character" w:styleId="720" w:customStyle="1">
    <w:name w:val="Название Знак"/>
    <w:link w:val="719"/>
    <w:uiPriority w:val="10"/>
    <w:rPr>
      <w:sz w:val="48"/>
      <w:szCs w:val="48"/>
    </w:rPr>
  </w:style>
  <w:style w:type="paragraph" w:styleId="721">
    <w:name w:val="Subtitle"/>
    <w:link w:val="722"/>
    <w:qFormat/>
    <w:uiPriority w:val="11"/>
    <w:rPr>
      <w:sz w:val="24"/>
      <w:szCs w:val="24"/>
      <w:lang w:eastAsia="zh-CN"/>
    </w:rPr>
    <w:pPr>
      <w:spacing w:after="200" w:before="200"/>
    </w:pPr>
  </w:style>
  <w:style w:type="character" w:styleId="722" w:customStyle="1">
    <w:name w:val="Подзаголовок Знак"/>
    <w:link w:val="721"/>
    <w:uiPriority w:val="11"/>
    <w:rPr>
      <w:sz w:val="24"/>
      <w:szCs w:val="24"/>
    </w:rPr>
  </w:style>
  <w:style w:type="paragraph" w:styleId="723">
    <w:name w:val="Quote"/>
    <w:link w:val="724"/>
    <w:qFormat/>
    <w:uiPriority w:val="29"/>
    <w:rPr>
      <w:i/>
      <w:lang w:eastAsia="zh-CN"/>
    </w:rPr>
    <w:pPr>
      <w:ind w:left="720" w:right="720"/>
    </w:p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link w:val="726"/>
    <w:qFormat/>
    <w:uiPriority w:val="30"/>
    <w:rPr>
      <w:i/>
      <w:lang w:eastAsia="zh-CN"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26" w:customStyle="1">
    <w:name w:val="Выделенная цитата Знак"/>
    <w:link w:val="725"/>
    <w:uiPriority w:val="30"/>
    <w:rPr>
      <w:i/>
    </w:rPr>
  </w:style>
  <w:style w:type="paragraph" w:styleId="727">
    <w:name w:val="Header"/>
    <w:basedOn w:val="678"/>
    <w:link w:val="728"/>
    <w:pPr>
      <w:tabs>
        <w:tab w:val="center" w:pos="4677" w:leader="none"/>
        <w:tab w:val="right" w:pos="9355" w:leader="none"/>
      </w:tabs>
    </w:pPr>
  </w:style>
  <w:style w:type="character" w:styleId="728" w:customStyle="1">
    <w:name w:val="Верхний колонтитул Знак"/>
    <w:link w:val="727"/>
    <w:uiPriority w:val="99"/>
  </w:style>
  <w:style w:type="paragraph" w:styleId="729">
    <w:name w:val="Footer"/>
    <w:link w:val="732"/>
    <w:uiPriority w:val="99"/>
    <w:unhideWhenUsed/>
    <w:rPr>
      <w:lang w:eastAsia="zh-CN"/>
    </w:rPr>
    <w:pPr>
      <w:tabs>
        <w:tab w:val="center" w:pos="7143" w:leader="none"/>
        <w:tab w:val="right" w:pos="14287" w:leader="none"/>
      </w:tabs>
    </w:pPr>
  </w:style>
  <w:style w:type="character" w:styleId="730" w:customStyle="1">
    <w:name w:val="Footer Char"/>
    <w:uiPriority w:val="99"/>
  </w:style>
  <w:style w:type="paragraph" w:styleId="731">
    <w:name w:val="Caption"/>
    <w:basedOn w:val="678"/>
    <w:next w:val="678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character" w:styleId="732" w:customStyle="1">
    <w:name w:val="Нижний колонтитул Знак"/>
    <w:link w:val="729"/>
    <w:uiPriority w:val="99"/>
  </w:style>
  <w:style w:type="table" w:styleId="733">
    <w:name w:val="Table Grid"/>
    <w:basedOn w:val="68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34" w:customStyle="1">
    <w:name w:val="Table Grid Light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 w:customStyle="1">
    <w:name w:val="Plain Table 1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Plain Table 2"/>
    <w:uiPriority w:val="59"/>
    <w:rPr>
      <w:lang w:eastAsia="zh-CN"/>
    </w:rPr>
    <w:tblPr>
      <w:tblInd w:w="0" w:type="dxa"/>
      <w:tblBorders>
        <w:left w:val="none" w:color="000000" w:sz="4" w:space="0"/>
        <w:top w:val="single" w:color="000000" w:sz="4" w:space="0"/>
        <w:right w:val="none" w:color="000000" w:sz="4" w:space="0"/>
        <w:bottom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89898" w:sz="4" w:space="0"/>
        <w:top w:val="single" w:color="989898" w:sz="4" w:space="0"/>
        <w:right w:val="single" w:color="989898" w:sz="4" w:space="0"/>
        <w:bottom w:val="single" w:color="989898" w:sz="4" w:space="0"/>
        <w:insideV w:val="single" w:color="989898" w:sz="4" w:space="0"/>
        <w:insideH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6F6F6F" w:sz="4" w:space="0"/>
        <w:top w:val="single" w:color="6F6F6F" w:sz="4" w:space="0"/>
        <w:right w:val="single" w:color="6F6F6F" w:sz="4" w:space="0"/>
        <w:bottom w:val="single" w:color="6F6F6F" w:sz="4" w:space="0"/>
        <w:insideV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V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V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V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V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4" w:space="0"/>
        <w:top w:val="single" w:color="7F7F7F" w:sz="4" w:space="0"/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A6BFDD" w:sz="4" w:space="0"/>
        <w:top w:val="single" w:color="A6BFDD" w:sz="4" w:space="0"/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ABB59" w:sz="4" w:space="0"/>
        <w:top w:val="single" w:color="9ABB59" w:sz="4" w:space="0"/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BACC6" w:sz="4" w:space="0"/>
        <w:top w:val="single" w:color="4BACC6" w:sz="4" w:space="0"/>
        <w:right w:val="single" w:color="4BACC6" w:sz="4" w:space="0"/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79646" w:sz="4" w:space="0"/>
        <w:top w:val="single" w:color="F79646" w:sz="4" w:space="0"/>
        <w:right w:val="single" w:color="F79646" w:sz="4" w:space="0"/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4" w:space="0"/>
        <w:top w:val="single" w:color="4F81BD" w:sz="4" w:space="0"/>
        <w:right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4" w:space="0"/>
        <w:top w:val="single" w:color="C3D69B" w:sz="4" w:space="0"/>
        <w:right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4" w:space="0"/>
        <w:top w:val="single" w:color="92CCDC" w:sz="4" w:space="0"/>
        <w:right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4" w:space="0"/>
        <w:top w:val="single" w:color="FAC090" w:sz="4" w:space="0"/>
        <w:right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32" w:space="0"/>
        <w:top w:val="single" w:color="7F7F7F" w:sz="32" w:space="0"/>
        <w:right w:val="single" w:color="7F7F7F" w:sz="32" w:space="0"/>
        <w:bottom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32" w:space="0"/>
        <w:top w:val="single" w:color="4F81BD" w:sz="32" w:space="0"/>
        <w:right w:val="single" w:color="4F81BD" w:sz="32" w:space="0"/>
        <w:bottom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32" w:space="0"/>
        <w:top w:val="single" w:color="D99695" w:sz="32" w:space="0"/>
        <w:right w:val="single" w:color="D99695" w:sz="32" w:space="0"/>
        <w:bottom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32" w:space="0"/>
        <w:top w:val="single" w:color="C3D69B" w:sz="32" w:space="0"/>
        <w:right w:val="single" w:color="C3D69B" w:sz="32" w:space="0"/>
        <w:bottom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32" w:space="0"/>
        <w:top w:val="single" w:color="B2A1C6" w:sz="32" w:space="0"/>
        <w:right w:val="single" w:color="B2A1C6" w:sz="32" w:space="0"/>
        <w:bottom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32" w:space="0"/>
        <w:top w:val="single" w:color="92CCDC" w:sz="32" w:space="0"/>
        <w:right w:val="single" w:color="92CCDC" w:sz="32" w:space="0"/>
        <w:bottom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32" w:space="0"/>
        <w:top w:val="single" w:color="FAC090" w:sz="32" w:space="0"/>
        <w:right w:val="single" w:color="FAC090" w:sz="32" w:space="0"/>
        <w:bottom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5"/>
    <w:link w:val="88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/>
        <w:top w:val="single" w:color="2A4A71" w:sz="4" w:space="0"/>
        <w:right w:val="single" w:color="2A4A71" w:sz="4" w:space="0"/>
        <w:bottom w:val="single" w:color="2A4A71" w:sz="4" w:space="0"/>
        <w:insideV w:val="single" w:color="2A4A71" w:sz="4" w:space="0"/>
        <w:insideH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/>
        <w:top w:val="single" w:color="732A29" w:sz="4" w:space="0"/>
        <w:right w:val="single" w:color="732A29" w:sz="4" w:space="0"/>
        <w:bottom w:val="single" w:color="732A29" w:sz="4" w:space="0"/>
        <w:insideV w:val="single" w:color="732A29" w:sz="4" w:space="0"/>
        <w:insideH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/>
        <w:top w:val="single" w:color="5B722E" w:sz="4" w:space="0"/>
        <w:right w:val="single" w:color="5B722E" w:sz="4" w:space="0"/>
        <w:bottom w:val="single" w:color="5B722E" w:sz="4" w:space="0"/>
        <w:insideV w:val="single" w:color="5B722E" w:sz="4" w:space="0"/>
        <w:insideH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/>
        <w:top w:val="single" w:color="4A395F" w:sz="4" w:space="0"/>
        <w:right w:val="single" w:color="4A395F" w:sz="4" w:space="0"/>
        <w:bottom w:val="single" w:color="4A395F" w:sz="4" w:space="0"/>
        <w:insideV w:val="single" w:color="4A395F" w:sz="4" w:space="0"/>
        <w:insideH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/>
        <w:top w:val="single" w:color="266779" w:sz="4" w:space="0"/>
        <w:right w:val="single" w:color="266779" w:sz="4" w:space="0"/>
        <w:bottom w:val="single" w:color="266779" w:sz="4" w:space="0"/>
        <w:insideV w:val="single" w:color="266779" w:sz="4" w:space="0"/>
        <w:insideH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/>
        <w:top w:val="single" w:color="B15407" w:sz="4" w:space="0"/>
        <w:right w:val="single" w:color="B15407" w:sz="4" w:space="0"/>
        <w:bottom w:val="single" w:color="B15407" w:sz="4" w:space="0"/>
        <w:insideV w:val="single" w:color="B15407" w:sz="4" w:space="0"/>
        <w:insideH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9">
    <w:name w:val="Hyperlink"/>
    <w:semiHidden/>
    <w:rPr>
      <w:color w:val="0000FF"/>
      <w:u w:val="single"/>
    </w:rPr>
  </w:style>
  <w:style w:type="paragraph" w:styleId="860">
    <w:name w:val="footnote text"/>
    <w:link w:val="861"/>
    <w:uiPriority w:val="99"/>
    <w:semiHidden/>
    <w:unhideWhenUsed/>
    <w:rPr>
      <w:sz w:val="18"/>
      <w:lang w:eastAsia="zh-CN"/>
    </w:rPr>
    <w:pPr>
      <w:spacing w:after="40"/>
    </w:pPr>
  </w:style>
  <w:style w:type="character" w:styleId="861" w:customStyle="1">
    <w:name w:val="Текст сноски Знак"/>
    <w:link w:val="860"/>
    <w:uiPriority w:val="99"/>
    <w:rPr>
      <w:sz w:val="18"/>
    </w:rPr>
  </w:style>
  <w:style w:type="character" w:styleId="862">
    <w:name w:val="footnote reference"/>
    <w:uiPriority w:val="99"/>
    <w:unhideWhenUsed/>
    <w:rPr>
      <w:vertAlign w:val="superscript"/>
    </w:rPr>
  </w:style>
  <w:style w:type="paragraph" w:styleId="863">
    <w:name w:val="endnote text"/>
    <w:link w:val="864"/>
    <w:uiPriority w:val="99"/>
    <w:semiHidden/>
    <w:unhideWhenUsed/>
    <w:rPr>
      <w:lang w:eastAsia="zh-CN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uiPriority w:val="99"/>
    <w:semiHidden/>
    <w:unhideWhenUsed/>
    <w:rPr>
      <w:vertAlign w:val="superscript"/>
    </w:rPr>
  </w:style>
  <w:style w:type="paragraph" w:styleId="866">
    <w:name w:val="toc 1"/>
    <w:uiPriority w:val="39"/>
    <w:unhideWhenUsed/>
    <w:rPr>
      <w:lang w:eastAsia="zh-CN"/>
    </w:rPr>
    <w:pPr>
      <w:spacing w:after="57"/>
    </w:pPr>
  </w:style>
  <w:style w:type="paragraph" w:styleId="867">
    <w:name w:val="toc 2"/>
    <w:uiPriority w:val="39"/>
    <w:unhideWhenUsed/>
    <w:rPr>
      <w:lang w:eastAsia="zh-CN"/>
    </w:rPr>
    <w:pPr>
      <w:ind w:left="283"/>
      <w:spacing w:after="57"/>
    </w:pPr>
  </w:style>
  <w:style w:type="paragraph" w:styleId="868">
    <w:name w:val="toc 3"/>
    <w:uiPriority w:val="39"/>
    <w:unhideWhenUsed/>
    <w:rPr>
      <w:lang w:eastAsia="zh-CN"/>
    </w:rPr>
    <w:pPr>
      <w:ind w:left="567"/>
      <w:spacing w:after="57"/>
    </w:pPr>
  </w:style>
  <w:style w:type="paragraph" w:styleId="869">
    <w:name w:val="toc 4"/>
    <w:uiPriority w:val="39"/>
    <w:unhideWhenUsed/>
    <w:rPr>
      <w:lang w:eastAsia="zh-CN"/>
    </w:rPr>
    <w:pPr>
      <w:ind w:left="850"/>
      <w:spacing w:after="57"/>
    </w:pPr>
  </w:style>
  <w:style w:type="paragraph" w:styleId="870">
    <w:name w:val="toc 5"/>
    <w:uiPriority w:val="39"/>
    <w:unhideWhenUsed/>
    <w:rPr>
      <w:lang w:eastAsia="zh-CN"/>
    </w:rPr>
    <w:pPr>
      <w:ind w:left="1134"/>
      <w:spacing w:after="57"/>
    </w:pPr>
  </w:style>
  <w:style w:type="paragraph" w:styleId="871">
    <w:name w:val="toc 6"/>
    <w:uiPriority w:val="39"/>
    <w:unhideWhenUsed/>
    <w:rPr>
      <w:lang w:eastAsia="zh-CN"/>
    </w:rPr>
    <w:pPr>
      <w:ind w:left="1417"/>
      <w:spacing w:after="57"/>
    </w:pPr>
  </w:style>
  <w:style w:type="paragraph" w:styleId="872">
    <w:name w:val="toc 7"/>
    <w:uiPriority w:val="39"/>
    <w:unhideWhenUsed/>
    <w:rPr>
      <w:lang w:eastAsia="zh-CN"/>
    </w:rPr>
    <w:pPr>
      <w:ind w:left="1701"/>
      <w:spacing w:after="57"/>
    </w:pPr>
  </w:style>
  <w:style w:type="paragraph" w:styleId="873">
    <w:name w:val="toc 8"/>
    <w:uiPriority w:val="39"/>
    <w:unhideWhenUsed/>
    <w:rPr>
      <w:lang w:eastAsia="zh-CN"/>
    </w:rPr>
    <w:pPr>
      <w:ind w:left="1984"/>
      <w:spacing w:after="57"/>
    </w:pPr>
  </w:style>
  <w:style w:type="paragraph" w:styleId="874">
    <w:name w:val="toc 9"/>
    <w:uiPriority w:val="39"/>
    <w:unhideWhenUsed/>
    <w:rPr>
      <w:lang w:eastAsia="zh-CN"/>
    </w:rPr>
    <w:pPr>
      <w:ind w:left="2268"/>
      <w:spacing w:after="57"/>
    </w:pPr>
  </w:style>
  <w:style w:type="paragraph" w:styleId="875">
    <w:name w:val="TOC Heading"/>
    <w:uiPriority w:val="39"/>
    <w:unhideWhenUsed/>
    <w:rPr>
      <w:lang w:eastAsia="zh-CN"/>
    </w:rPr>
  </w:style>
  <w:style w:type="paragraph" w:styleId="876">
    <w:name w:val="table of figures"/>
    <w:uiPriority w:val="99"/>
    <w:unhideWhenUsed/>
    <w:rPr>
      <w:lang w:eastAsia="zh-CN"/>
    </w:rPr>
  </w:style>
  <w:style w:type="character" w:styleId="877">
    <w:name w:val="page number"/>
    <w:basedOn w:val="688"/>
  </w:style>
  <w:style w:type="paragraph" w:styleId="878">
    <w:name w:val="Balloon Text"/>
    <w:basedOn w:val="678"/>
    <w:semiHidden/>
    <w:rPr>
      <w:rFonts w:ascii="Tahoma" w:hAnsi="Tahoma"/>
      <w:sz w:val="16"/>
      <w:szCs w:val="16"/>
    </w:rPr>
  </w:style>
  <w:style w:type="paragraph" w:styleId="879" w:customStyle="1">
    <w:name w:val="1"/>
    <w:basedOn w:val="678"/>
    <w:rPr>
      <w:sz w:val="24"/>
      <w:szCs w:val="24"/>
    </w:rPr>
    <w:pPr>
      <w:spacing w:after="100" w:afterAutospacing="1" w:before="100" w:beforeAutospacing="1"/>
    </w:pPr>
  </w:style>
  <w:style w:type="paragraph" w:styleId="880">
    <w:name w:val="Normal (Web)"/>
    <w:basedOn w:val="678"/>
    <w:rPr>
      <w:sz w:val="24"/>
      <w:szCs w:val="24"/>
    </w:rPr>
    <w:pPr>
      <w:spacing w:after="100" w:afterAutospacing="1" w:before="100" w:beforeAutospacing="1"/>
    </w:pPr>
  </w:style>
  <w:style w:type="table" w:styleId="881" w:customStyle="1">
    <w:name w:val="Сетка таблицы1"/>
    <w:basedOn w:val="689"/>
    <w:next w:val="733"/>
    <w:rPr>
      <w:rFonts w:ascii="Calibri" w:hAnsi="Calibri" w:eastAsia="Calibri"/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82" w:customStyle="1">
    <w:name w:val="Основной текст1"/>
    <w:link w:val="836"/>
    <w:rPr>
      <w:sz w:val="26"/>
      <w:szCs w:val="26"/>
      <w:shd w:val="clear" w:fill="FFFFFF" w:color="auto"/>
    </w:rPr>
    <w:pPr>
      <w:spacing w:lineRule="exact" w:line="324" w:after="300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15</cp:revision>
  <dcterms:created xsi:type="dcterms:W3CDTF">2026-02-12T05:20:00Z</dcterms:created>
  <dcterms:modified xsi:type="dcterms:W3CDTF">2026-02-18T09:57:52Z</dcterms:modified>
</cp:coreProperties>
</file>